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552BF5" w:rsidRDefault="00F92268" w:rsidP="00850792">
      <w:pPr>
        <w:pStyle w:val="BodyText"/>
        <w:rPr>
          <w:sz w:val="6"/>
          <w:szCs w:val="6"/>
        </w:rPr>
      </w:pPr>
      <w:r w:rsidRPr="00552BF5">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552BF5"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552BF5" w:rsidRDefault="00F92268" w:rsidP="00F246C7">
            <w:pPr>
              <w:pStyle w:val="RefTableData"/>
            </w:pPr>
            <w:r w:rsidRPr="00552BF5">
              <w:t>Reference number(s)</w:t>
            </w:r>
          </w:p>
        </w:tc>
      </w:tr>
      <w:tr w:rsidR="00F92268" w:rsidRPr="00552BF5"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384F87D6" w:rsidR="00F92268" w:rsidRPr="00552BF5" w:rsidRDefault="00C0603C" w:rsidP="00F246C7">
            <w:pPr>
              <w:pStyle w:val="RefTableHeader"/>
            </w:pPr>
            <w:r w:rsidRPr="00552BF5">
              <w:t>3407-A</w:t>
            </w:r>
          </w:p>
        </w:tc>
      </w:tr>
    </w:tbl>
    <w:p w14:paraId="74FBA5B4" w14:textId="77777777" w:rsidR="00051356" w:rsidRPr="00552BF5" w:rsidRDefault="00051356" w:rsidP="00A672B3">
      <w:pPr>
        <w:pStyle w:val="BodyText"/>
        <w:rPr>
          <w:b/>
          <w:bCs/>
          <w:sz w:val="16"/>
          <w:szCs w:val="16"/>
        </w:rPr>
        <w:sectPr w:rsidR="00051356" w:rsidRPr="00552BF5"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56F04C28" w:rsidR="004B15BB" w:rsidRPr="00552BF5" w:rsidRDefault="0069169D" w:rsidP="007E5C16">
      <w:pPr>
        <w:pStyle w:val="Heading1"/>
      </w:pPr>
      <w:r w:rsidRPr="00552BF5">
        <w:t>Specialty Guideline Management</w:t>
      </w:r>
      <w:r w:rsidR="008C54D9" w:rsidRPr="00552BF5">
        <w:br/>
      </w:r>
      <w:r w:rsidRPr="00552BF5">
        <w:t>Reblozyl</w:t>
      </w:r>
    </w:p>
    <w:p w14:paraId="78861C92" w14:textId="07759223" w:rsidR="00203468" w:rsidRPr="00552BF5" w:rsidRDefault="00C64534" w:rsidP="008E0F0D">
      <w:pPr>
        <w:pStyle w:val="Heading2"/>
      </w:pPr>
      <w:r w:rsidRPr="00552BF5">
        <w:t xml:space="preserve">Products Referenced by this </w:t>
      </w:r>
      <w:r w:rsidR="00501602" w:rsidRPr="00552BF5">
        <w:t>Document</w:t>
      </w:r>
    </w:p>
    <w:p w14:paraId="5455152B" w14:textId="52D3D5D3" w:rsidR="008E0F0D" w:rsidRPr="00552BF5" w:rsidRDefault="00D82D85" w:rsidP="008B73E8">
      <w:pPr>
        <w:pStyle w:val="BodyText"/>
      </w:pPr>
      <w:r w:rsidRPr="00552BF5">
        <w:t xml:space="preserve">Drugs that are listed in the </w:t>
      </w:r>
      <w:r w:rsidR="000315F1" w:rsidRPr="00552BF5">
        <w:t>following table</w:t>
      </w:r>
      <w:r w:rsidRPr="00552BF5">
        <w:t xml:space="preserve"> include both brand and generic and all dosage forms and strengths unless otherwise stated. </w:t>
      </w:r>
      <w:r w:rsidR="00CB29B2" w:rsidRPr="00552BF5">
        <w:t>Over</w:t>
      </w:r>
      <w:r w:rsidR="00986AEB">
        <w:t>-</w:t>
      </w:r>
      <w:r w:rsidR="00CB29B2" w:rsidRPr="00552BF5">
        <w:t>the</w:t>
      </w:r>
      <w:r w:rsidR="00986AEB">
        <w:t>-</w:t>
      </w:r>
      <w:r w:rsidR="00CB29B2" w:rsidRPr="00552BF5">
        <w:t>counter (OTC)</w:t>
      </w:r>
      <w:r w:rsidRPr="00552BF5">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552BF5" w14:paraId="057AAA89" w14:textId="77777777">
        <w:trPr>
          <w:cantSplit/>
          <w:trHeight w:val="288"/>
          <w:tblHeader/>
        </w:trPr>
        <w:tc>
          <w:tcPr>
            <w:tcW w:w="5265" w:type="dxa"/>
            <w:vAlign w:val="center"/>
          </w:tcPr>
          <w:p w14:paraId="6CBFE1BD" w14:textId="77777777" w:rsidR="005B4D7C" w:rsidRPr="00552BF5" w:rsidRDefault="005B4D7C">
            <w:pPr>
              <w:pStyle w:val="TableHeader"/>
            </w:pPr>
            <w:r w:rsidRPr="00552BF5">
              <w:t>Brand Name</w:t>
            </w:r>
          </w:p>
        </w:tc>
        <w:tc>
          <w:tcPr>
            <w:tcW w:w="5595" w:type="dxa"/>
            <w:vAlign w:val="center"/>
          </w:tcPr>
          <w:p w14:paraId="18440B85" w14:textId="77777777" w:rsidR="005B4D7C" w:rsidRPr="00552BF5" w:rsidRDefault="005B4D7C">
            <w:pPr>
              <w:pStyle w:val="TableHeader"/>
            </w:pPr>
            <w:r w:rsidRPr="00552BF5">
              <w:t>Generic Name</w:t>
            </w:r>
          </w:p>
        </w:tc>
      </w:tr>
      <w:tr w:rsidR="005B4D7C" w:rsidRPr="00552BF5" w14:paraId="7742B1EC" w14:textId="77777777">
        <w:trPr>
          <w:cantSplit/>
        </w:trPr>
        <w:tc>
          <w:tcPr>
            <w:tcW w:w="5265" w:type="dxa"/>
          </w:tcPr>
          <w:p w14:paraId="4DED0C9B" w14:textId="669123CC" w:rsidR="005B4D7C" w:rsidRPr="00552BF5" w:rsidRDefault="000D0CC3">
            <w:pPr>
              <w:pStyle w:val="TableDataUnpadded"/>
            </w:pPr>
            <w:r w:rsidRPr="00552BF5">
              <w:t>Reblozyl</w:t>
            </w:r>
          </w:p>
        </w:tc>
        <w:tc>
          <w:tcPr>
            <w:tcW w:w="5595" w:type="dxa"/>
          </w:tcPr>
          <w:p w14:paraId="1A09710D" w14:textId="4E7469A6" w:rsidR="005B4D7C" w:rsidRPr="00552BF5" w:rsidRDefault="000D0CC3">
            <w:pPr>
              <w:pStyle w:val="TableDataUnpadded"/>
            </w:pPr>
            <w:r w:rsidRPr="00552BF5">
              <w:t>luspatercept-aamt</w:t>
            </w:r>
          </w:p>
        </w:tc>
      </w:tr>
    </w:tbl>
    <w:p w14:paraId="14CE6108" w14:textId="530A6309" w:rsidR="00FC1AAD" w:rsidRPr="00552BF5" w:rsidRDefault="00ED052F" w:rsidP="00AA2A94">
      <w:pPr>
        <w:pStyle w:val="Heading2"/>
        <w:tabs>
          <w:tab w:val="left" w:pos="9540"/>
        </w:tabs>
      </w:pPr>
      <w:r w:rsidRPr="00552BF5">
        <w:t>Indications</w:t>
      </w:r>
    </w:p>
    <w:p w14:paraId="4612E575" w14:textId="70851D33" w:rsidR="0073274B" w:rsidRPr="00552BF5" w:rsidRDefault="0073274B" w:rsidP="0073274B">
      <w:pPr>
        <w:pStyle w:val="BodyText"/>
      </w:pPr>
      <w:r w:rsidRPr="00552BF5">
        <w:t>The indications below including FDA-approved indications and compendial uses are considered a covered benefit provided that all the approval criteria are met and the member has no exclusions to the prescribed therapy.</w:t>
      </w:r>
    </w:p>
    <w:p w14:paraId="134B5687" w14:textId="2AD6AD77" w:rsidR="00ED052F" w:rsidRDefault="00ED052F" w:rsidP="00ED052F">
      <w:pPr>
        <w:pStyle w:val="Heading3"/>
        <w:keepNext w:val="0"/>
        <w:rPr>
          <w:vertAlign w:val="superscript"/>
        </w:rPr>
      </w:pPr>
      <w:r w:rsidRPr="00552BF5">
        <w:t>FDA-</w:t>
      </w:r>
      <w:r w:rsidR="00FE29EA">
        <w:t>a</w:t>
      </w:r>
      <w:r w:rsidRPr="00552BF5">
        <w:t>pproved Indications</w:t>
      </w:r>
      <w:r w:rsidR="0073274B" w:rsidRPr="00552BF5">
        <w:rPr>
          <w:vertAlign w:val="superscript"/>
        </w:rPr>
        <w:t>1</w:t>
      </w:r>
    </w:p>
    <w:p w14:paraId="44BD4066" w14:textId="4C10D6F7" w:rsidR="00EE13D2" w:rsidRPr="00EE13D2" w:rsidRDefault="00EE13D2" w:rsidP="00EE13D2">
      <w:pPr>
        <w:pStyle w:val="BodyText"/>
      </w:pPr>
      <w:r>
        <w:t>Indicated for:</w:t>
      </w:r>
    </w:p>
    <w:p w14:paraId="022B369C" w14:textId="77777777" w:rsidR="0073274B" w:rsidRPr="00552BF5" w:rsidRDefault="0073274B" w:rsidP="0073274B">
      <w:pPr>
        <w:pStyle w:val="ListParagraph"/>
      </w:pPr>
      <w:r w:rsidRPr="00552BF5">
        <w:t>Treatment of anemia in adult patients with beta thalassemia who require regular red blood cell (RBC) transfusions</w:t>
      </w:r>
    </w:p>
    <w:p w14:paraId="4EDAAF4D" w14:textId="77777777" w:rsidR="0073274B" w:rsidRPr="00552BF5" w:rsidRDefault="0073274B" w:rsidP="0073274B">
      <w:pPr>
        <w:pStyle w:val="ListParagraph"/>
      </w:pPr>
      <w:bookmarkStart w:id="0" w:name="OLE_LINK2"/>
      <w:r w:rsidRPr="00552BF5">
        <w:t>Treatment of anemia without previous erythropoiesis stimulating agent use (ESA-naïve) in adult patients with very low- to intermediate-risk myelodysplastic syndromes (MDS) who may require regular red blood cell (RBC) transfusions</w:t>
      </w:r>
      <w:bookmarkEnd w:id="0"/>
    </w:p>
    <w:p w14:paraId="3683F265" w14:textId="77777777" w:rsidR="0073274B" w:rsidRPr="00552BF5" w:rsidRDefault="0073274B" w:rsidP="0073274B">
      <w:pPr>
        <w:pStyle w:val="ListParagraph"/>
        <w:rPr>
          <w:sz w:val="20"/>
          <w:szCs w:val="20"/>
          <w:u w:val="single"/>
        </w:rPr>
      </w:pPr>
      <w:r w:rsidRPr="00552BF5">
        <w:t>Treatment of anemia failing an erythropoiesis stimulating agent and requiring 2 or more red blood cell units over 8 weeks in adult patients with very low- to intermediate- risk myelodysplastic syndromes with ring sideroblasts (MDS-RS) or with myelodysplastic/myeloproliferative neoplasm with ring sideroblasts and thrombocytosis (MDS/MPN-RS-T)</w:t>
      </w:r>
    </w:p>
    <w:p w14:paraId="0B5EC236" w14:textId="654C6E43" w:rsidR="0044763A" w:rsidRPr="00552BF5" w:rsidRDefault="009F2EF1" w:rsidP="0044763A">
      <w:pPr>
        <w:pStyle w:val="Heading3"/>
      </w:pPr>
      <w:r w:rsidRPr="00552BF5">
        <w:lastRenderedPageBreak/>
        <w:t>Compendial Use</w:t>
      </w:r>
    </w:p>
    <w:p w14:paraId="34DCB503" w14:textId="77777777" w:rsidR="0073274B" w:rsidRPr="00552BF5" w:rsidRDefault="0073274B" w:rsidP="0073274B">
      <w:pPr>
        <w:pStyle w:val="BodyText"/>
      </w:pPr>
      <w:r w:rsidRPr="00552BF5">
        <w:t>Myelofibrosis-associated anemia</w:t>
      </w:r>
      <w:r w:rsidRPr="00552BF5">
        <w:rPr>
          <w:vertAlign w:val="superscript"/>
        </w:rPr>
        <w:t>5</w:t>
      </w:r>
    </w:p>
    <w:p w14:paraId="15E3A1F9" w14:textId="402EE651" w:rsidR="0073274B" w:rsidRPr="00552BF5" w:rsidRDefault="0073274B" w:rsidP="00DB6016">
      <w:pPr>
        <w:pStyle w:val="Heading5"/>
      </w:pPr>
      <w:r w:rsidRPr="00552BF5">
        <w:t>Limitations of Use</w:t>
      </w:r>
    </w:p>
    <w:p w14:paraId="3BD4A08D" w14:textId="38551352" w:rsidR="0073274B" w:rsidRPr="00552BF5" w:rsidRDefault="0073274B" w:rsidP="0073274B">
      <w:pPr>
        <w:pStyle w:val="BodyText"/>
      </w:pPr>
      <w:r w:rsidRPr="00552BF5">
        <w:t>Reblozyl is not indicated for use as a substitute for red blood cell (RBC) transfusions in patients who require immediate correction of anemia.</w:t>
      </w:r>
    </w:p>
    <w:p w14:paraId="510C3DD3" w14:textId="77777777" w:rsidR="0073274B" w:rsidRPr="00552BF5" w:rsidRDefault="0073274B" w:rsidP="0073274B">
      <w:pPr>
        <w:pStyle w:val="BodyText"/>
      </w:pPr>
      <w:r w:rsidRPr="00552BF5">
        <w:t>All other indications are considered experimental/investigational and not medically necessary.</w:t>
      </w:r>
    </w:p>
    <w:p w14:paraId="36381B6D" w14:textId="7A218BE0" w:rsidR="000D2496" w:rsidRDefault="000D2496" w:rsidP="000D2496">
      <w:pPr>
        <w:pStyle w:val="Heading2"/>
      </w:pPr>
      <w:r w:rsidRPr="00552BF5">
        <w:t>Documentation</w:t>
      </w:r>
    </w:p>
    <w:p w14:paraId="3F754896" w14:textId="171170EF" w:rsidR="00EE13D2" w:rsidRPr="00EE13D2" w:rsidRDefault="00EE13D2" w:rsidP="00DB6016">
      <w:pPr>
        <w:pStyle w:val="BodyText"/>
      </w:pPr>
      <w:r>
        <w:t>Submission of the following information is necessary to initiate the prior authorization review:</w:t>
      </w:r>
    </w:p>
    <w:p w14:paraId="5CA824D9" w14:textId="77777777" w:rsidR="00A622F9" w:rsidRDefault="00A622F9" w:rsidP="00A622F9">
      <w:pPr>
        <w:pStyle w:val="Heading3"/>
      </w:pPr>
      <w:r w:rsidRPr="00552BF5">
        <w:t>Anemia with beta thalassemia</w:t>
      </w:r>
    </w:p>
    <w:p w14:paraId="20713DA1" w14:textId="4892D347" w:rsidR="00A622F9" w:rsidRPr="00552BF5" w:rsidRDefault="00EE13D2" w:rsidP="00DB6016">
      <w:pPr>
        <w:pStyle w:val="Heading4"/>
      </w:pPr>
      <w:r>
        <w:t>Initial requests:</w:t>
      </w:r>
    </w:p>
    <w:p w14:paraId="64FB6E92" w14:textId="77777777" w:rsidR="00A622F9" w:rsidRPr="00552BF5" w:rsidRDefault="00A622F9" w:rsidP="00A622F9">
      <w:pPr>
        <w:pStyle w:val="ListParagraph"/>
        <w:numPr>
          <w:ilvl w:val="0"/>
          <w:numId w:val="31"/>
        </w:numPr>
      </w:pPr>
      <w:r w:rsidRPr="00552BF5">
        <w:t>Pretreatment or pretransfusion hemoglobin (Hgb) level</w:t>
      </w:r>
    </w:p>
    <w:p w14:paraId="1CCDBCB8" w14:textId="77777777" w:rsidR="00A622F9" w:rsidRPr="00552BF5" w:rsidRDefault="00A622F9" w:rsidP="00A622F9">
      <w:pPr>
        <w:pStyle w:val="ListParagraph"/>
        <w:numPr>
          <w:ilvl w:val="0"/>
          <w:numId w:val="31"/>
        </w:numPr>
      </w:pPr>
      <w:r w:rsidRPr="00552BF5">
        <w:t>Either of the following:</w:t>
      </w:r>
    </w:p>
    <w:p w14:paraId="3A001D47" w14:textId="77777777" w:rsidR="00A622F9" w:rsidRPr="00552BF5" w:rsidRDefault="00A622F9" w:rsidP="00A622F9">
      <w:pPr>
        <w:pStyle w:val="ListParagraph"/>
        <w:numPr>
          <w:ilvl w:val="1"/>
          <w:numId w:val="21"/>
        </w:numPr>
      </w:pPr>
      <w:r w:rsidRPr="00552BF5">
        <w:t xml:space="preserve">Hemoglobin electrophoresis or </w:t>
      </w:r>
      <w:bookmarkStart w:id="1" w:name="OLE_LINK21"/>
      <w:r w:rsidRPr="00552BF5">
        <w:t xml:space="preserve">high-performance liquid chromatography </w:t>
      </w:r>
      <w:bookmarkEnd w:id="1"/>
      <w:r w:rsidRPr="00552BF5">
        <w:t>(HPLC) results OR molecular genetic testing results, or</w:t>
      </w:r>
    </w:p>
    <w:p w14:paraId="31701193" w14:textId="77777777" w:rsidR="00A622F9" w:rsidRPr="00552BF5" w:rsidRDefault="00A622F9" w:rsidP="00A622F9">
      <w:pPr>
        <w:pStyle w:val="ListParagraph"/>
        <w:numPr>
          <w:ilvl w:val="1"/>
          <w:numId w:val="21"/>
        </w:numPr>
      </w:pPr>
      <w:r w:rsidRPr="00552BF5">
        <w:t>Chart notes or medical record documentation stating diagnosis of beta thalassemia (</w:t>
      </w:r>
      <w:r w:rsidRPr="00552BF5">
        <w:rPr>
          <w:rFonts w:ascii="Calibri" w:hAnsi="Calibri" w:cs="Calibri"/>
        </w:rPr>
        <w:t>β</w:t>
      </w:r>
      <w:r w:rsidRPr="00552BF5">
        <w:t>-thalassemia) or hemoglobin E/</w:t>
      </w:r>
      <w:r w:rsidRPr="00552BF5">
        <w:rPr>
          <w:rFonts w:ascii="Calibri" w:hAnsi="Calibri" w:cs="Calibri"/>
        </w:rPr>
        <w:t>β</w:t>
      </w:r>
      <w:r w:rsidRPr="00552BF5">
        <w:t>-thalassemia was previously confirmed</w:t>
      </w:r>
    </w:p>
    <w:p w14:paraId="6F2494DE" w14:textId="43C02F59" w:rsidR="00A622F9" w:rsidRDefault="00A622F9" w:rsidP="00A622F9">
      <w:pPr>
        <w:pStyle w:val="Heading3"/>
      </w:pPr>
      <w:r w:rsidRPr="00552BF5">
        <w:t>Anemia of myelodysplastic syndrome or myelodysplastic/myeloproliferative neoplasm</w:t>
      </w:r>
    </w:p>
    <w:p w14:paraId="351D6676" w14:textId="30B352AD" w:rsidR="00EE13D2" w:rsidRPr="00EE13D2" w:rsidRDefault="00EE13D2" w:rsidP="00DB6016">
      <w:pPr>
        <w:pStyle w:val="Heading4"/>
      </w:pPr>
      <w:r>
        <w:t>Initial requests:</w:t>
      </w:r>
    </w:p>
    <w:p w14:paraId="499CF6A5" w14:textId="3EE53A08" w:rsidR="00A622F9" w:rsidRPr="00552BF5" w:rsidRDefault="00A622F9" w:rsidP="00A622F9">
      <w:pPr>
        <w:pStyle w:val="BodyText"/>
      </w:pPr>
      <w:r w:rsidRPr="00552BF5">
        <w:t>Pretreatment or pretransfusion hemoglobin (Hgb) level</w:t>
      </w:r>
    </w:p>
    <w:p w14:paraId="65A12794" w14:textId="67C0B6E2" w:rsidR="000D5101" w:rsidRPr="00552BF5" w:rsidRDefault="004715CD" w:rsidP="00E050E1">
      <w:pPr>
        <w:pStyle w:val="Heading2"/>
      </w:pPr>
      <w:r w:rsidRPr="00552BF5">
        <w:t>Exclusions</w:t>
      </w:r>
      <w:r w:rsidR="00953D1E" w:rsidRPr="00552BF5">
        <w:rPr>
          <w:vertAlign w:val="superscript"/>
        </w:rPr>
        <w:t>1</w:t>
      </w:r>
    </w:p>
    <w:p w14:paraId="5E9B89CD" w14:textId="77777777" w:rsidR="00337A3C" w:rsidRPr="00552BF5" w:rsidRDefault="00337A3C" w:rsidP="00337A3C">
      <w:pPr>
        <w:pStyle w:val="Heading3"/>
      </w:pPr>
      <w:r w:rsidRPr="00552BF5">
        <w:t>Anemia with beta thalassemia</w:t>
      </w:r>
    </w:p>
    <w:p w14:paraId="63CFE5C4" w14:textId="77777777" w:rsidR="00337A3C" w:rsidRPr="00552BF5" w:rsidRDefault="00337A3C" w:rsidP="00337A3C">
      <w:pPr>
        <w:pStyle w:val="BodyText"/>
      </w:pPr>
      <w:r w:rsidRPr="00552BF5">
        <w:t>Coverage will not be provided for members with hemoglobin S/</w:t>
      </w:r>
      <w:r w:rsidRPr="00552BF5">
        <w:rPr>
          <w:rFonts w:ascii="Calibri" w:hAnsi="Calibri" w:cs="Calibri"/>
        </w:rPr>
        <w:t>β</w:t>
      </w:r>
      <w:r w:rsidRPr="00552BF5">
        <w:t>-thalassemia or alpha-thalassemia.</w:t>
      </w:r>
    </w:p>
    <w:p w14:paraId="50A38FBA" w14:textId="369B9330" w:rsidR="00FE0C63" w:rsidRPr="00552BF5" w:rsidRDefault="00685107" w:rsidP="00E050E1">
      <w:pPr>
        <w:pStyle w:val="Heading2"/>
      </w:pPr>
      <w:r w:rsidRPr="00552BF5">
        <w:lastRenderedPageBreak/>
        <w:t>Coverage Criteria</w:t>
      </w:r>
    </w:p>
    <w:p w14:paraId="4291A27C" w14:textId="44D836A5" w:rsidR="00E33C55" w:rsidRPr="00552BF5" w:rsidRDefault="00E33C55" w:rsidP="00E33C55">
      <w:pPr>
        <w:pStyle w:val="Heading3"/>
      </w:pPr>
      <w:r w:rsidRPr="00552BF5">
        <w:t>Anemia with beta thalassemia</w:t>
      </w:r>
      <w:r w:rsidRPr="00552BF5">
        <w:rPr>
          <w:vertAlign w:val="superscript"/>
        </w:rPr>
        <w:t>1-4,7-9</w:t>
      </w:r>
    </w:p>
    <w:p w14:paraId="5F988870" w14:textId="77777777" w:rsidR="00E33C55" w:rsidRPr="00552BF5" w:rsidRDefault="00E33C55" w:rsidP="00E33C55">
      <w:pPr>
        <w:pStyle w:val="BodyText"/>
      </w:pPr>
      <w:bookmarkStart w:id="2" w:name="OLE_LINK18"/>
      <w:r w:rsidRPr="00552BF5">
        <w:t xml:space="preserve">Authorization of 16 weeks may be granted for treatment of anemia with beta thalassemia in members 18 years of age or older when </w:t>
      </w:r>
      <w:proofErr w:type="gramStart"/>
      <w:r w:rsidRPr="00552BF5">
        <w:t>all of</w:t>
      </w:r>
      <w:proofErr w:type="gramEnd"/>
      <w:r w:rsidRPr="00552BF5">
        <w:t xml:space="preserve"> the following criteria are met:</w:t>
      </w:r>
    </w:p>
    <w:bookmarkEnd w:id="2"/>
    <w:p w14:paraId="62ECA3A1" w14:textId="7AF0106E" w:rsidR="00E33C55" w:rsidRPr="00552BF5" w:rsidRDefault="00E33C55" w:rsidP="00E33C55">
      <w:pPr>
        <w:pStyle w:val="ListParagraph"/>
        <w:numPr>
          <w:ilvl w:val="0"/>
          <w:numId w:val="35"/>
        </w:numPr>
      </w:pPr>
      <w:r w:rsidRPr="00552BF5">
        <w:t xml:space="preserve">The member has symptomatic anemia evidenced by a pretreatment or pretransfusion Hgb level less than or equal to 11 </w:t>
      </w:r>
      <w:r w:rsidR="000E124B">
        <w:t>grams per deciliter (g/dL)</w:t>
      </w:r>
      <w:r w:rsidRPr="00552BF5">
        <w:t>.</w:t>
      </w:r>
    </w:p>
    <w:p w14:paraId="2B4E4902" w14:textId="77777777" w:rsidR="00E33C55" w:rsidRPr="00552BF5" w:rsidRDefault="00E33C55" w:rsidP="00E33C55">
      <w:pPr>
        <w:pStyle w:val="ListParagraph"/>
        <w:numPr>
          <w:ilvl w:val="0"/>
          <w:numId w:val="35"/>
        </w:numPr>
      </w:pPr>
      <w:r w:rsidRPr="00552BF5">
        <w:t xml:space="preserve">The member has a </w:t>
      </w:r>
      <w:bookmarkStart w:id="3" w:name="OLE_LINK5"/>
      <w:r w:rsidRPr="00552BF5">
        <w:t>diagnosis of beta thalassemia (</w:t>
      </w:r>
      <w:r w:rsidRPr="00552BF5">
        <w:rPr>
          <w:rFonts w:ascii="Calibri" w:hAnsi="Calibri" w:cs="Calibri"/>
        </w:rPr>
        <w:t>β</w:t>
      </w:r>
      <w:r w:rsidRPr="00552BF5">
        <w:t>-thalassemia) or hemoglobin E/</w:t>
      </w:r>
      <w:r w:rsidRPr="00552BF5">
        <w:rPr>
          <w:rFonts w:ascii="Calibri" w:hAnsi="Calibri" w:cs="Calibri"/>
        </w:rPr>
        <w:t>β</w:t>
      </w:r>
      <w:r w:rsidRPr="00552BF5">
        <w:t xml:space="preserve">-thalassemia </w:t>
      </w:r>
      <w:bookmarkEnd w:id="3"/>
      <w:r w:rsidRPr="00552BF5">
        <w:t>(</w:t>
      </w:r>
      <w:r w:rsidRPr="00552BF5">
        <w:rPr>
          <w:rFonts w:ascii="Calibri" w:hAnsi="Calibri" w:cs="Calibri"/>
        </w:rPr>
        <w:t>β</w:t>
      </w:r>
      <w:r w:rsidRPr="00552BF5">
        <w:t>-thalassemia with mutation and/or multiplication of alpha globin is allowed) confirmed by one of the following:</w:t>
      </w:r>
    </w:p>
    <w:p w14:paraId="0329B66D" w14:textId="77777777" w:rsidR="00E33C55" w:rsidRPr="00552BF5" w:rsidRDefault="00E33C55" w:rsidP="00E33C55">
      <w:pPr>
        <w:pStyle w:val="ListParagraph"/>
        <w:numPr>
          <w:ilvl w:val="1"/>
          <w:numId w:val="35"/>
        </w:numPr>
      </w:pPr>
      <w:r w:rsidRPr="00552BF5">
        <w:t>Hemoglobin electrophoresis or high-performance liquid chromatography (HPLC)</w:t>
      </w:r>
    </w:p>
    <w:p w14:paraId="72483190" w14:textId="77777777" w:rsidR="00E33C55" w:rsidRPr="00552BF5" w:rsidRDefault="00E33C55" w:rsidP="00E33C55">
      <w:pPr>
        <w:pStyle w:val="ListParagraph"/>
        <w:numPr>
          <w:ilvl w:val="1"/>
          <w:numId w:val="35"/>
        </w:numPr>
      </w:pPr>
      <w:r w:rsidRPr="00552BF5">
        <w:t>Molecular genetic testing</w:t>
      </w:r>
    </w:p>
    <w:p w14:paraId="33633067" w14:textId="77777777" w:rsidR="00E33C55" w:rsidRPr="00552BF5" w:rsidRDefault="00E33C55" w:rsidP="00E33C55">
      <w:pPr>
        <w:pStyle w:val="ListParagraph"/>
        <w:numPr>
          <w:ilvl w:val="0"/>
          <w:numId w:val="35"/>
        </w:numPr>
      </w:pPr>
      <w:r w:rsidRPr="00552BF5">
        <w:t>The member required at least 6 red blood cell (RBC) units to be transfused in the previous 24 weeks.</w:t>
      </w:r>
    </w:p>
    <w:p w14:paraId="5FBBF9BA" w14:textId="77777777" w:rsidR="00E33C55" w:rsidRPr="00552BF5" w:rsidRDefault="00E33C55" w:rsidP="00E33C55">
      <w:pPr>
        <w:pStyle w:val="BodyText"/>
      </w:pPr>
      <w:r w:rsidRPr="00552BF5">
        <w:t>Note: If a red blood cell (RBC) transfusion occurred prior to dosing, the pretransfusion hemoglobin (Hgb) level must be considered for dosing purposes.</w:t>
      </w:r>
    </w:p>
    <w:p w14:paraId="0CC44450" w14:textId="77777777" w:rsidR="00E33C55" w:rsidRPr="00552BF5" w:rsidRDefault="00E33C55" w:rsidP="006F1D2B">
      <w:pPr>
        <w:pStyle w:val="Heading3"/>
      </w:pPr>
      <w:r w:rsidRPr="00552BF5">
        <w:t>Anemia of myelodysplastic syndrome or myelodysplastic/myeloproliferative neoplasm</w:t>
      </w:r>
      <w:r w:rsidRPr="00552BF5">
        <w:rPr>
          <w:vertAlign w:val="superscript"/>
        </w:rPr>
        <w:t>1,5,6</w:t>
      </w:r>
    </w:p>
    <w:p w14:paraId="4C8C86B9" w14:textId="77777777" w:rsidR="006F1D2B" w:rsidRPr="00552BF5" w:rsidRDefault="006F1D2B" w:rsidP="006F1D2B">
      <w:pPr>
        <w:pStyle w:val="BodyText"/>
      </w:pPr>
      <w:bookmarkStart w:id="4" w:name="OLE_LINK19"/>
      <w:r w:rsidRPr="00552BF5">
        <w:t xml:space="preserve">Authorization of 24 weeks may be granted for </w:t>
      </w:r>
      <w:bookmarkStart w:id="5" w:name="OLE_LINK30"/>
      <w:r w:rsidRPr="00552BF5">
        <w:t xml:space="preserve">treatment of anemia of myelodysplastic syndrome or myelodysplastic/myeloproliferative neoplasm </w:t>
      </w:r>
      <w:bookmarkStart w:id="6" w:name="OLE_LINK31"/>
      <w:bookmarkEnd w:id="5"/>
      <w:r w:rsidRPr="00552BF5">
        <w:t xml:space="preserve">in members 18 years of age or older when </w:t>
      </w:r>
      <w:proofErr w:type="gramStart"/>
      <w:r w:rsidRPr="00552BF5">
        <w:t>all of</w:t>
      </w:r>
      <w:proofErr w:type="gramEnd"/>
      <w:r w:rsidRPr="00552BF5">
        <w:t xml:space="preserve"> the following criteria are met</w:t>
      </w:r>
      <w:bookmarkEnd w:id="6"/>
      <w:r w:rsidRPr="00552BF5">
        <w:t xml:space="preserve">: </w:t>
      </w:r>
    </w:p>
    <w:bookmarkEnd w:id="4"/>
    <w:p w14:paraId="4EA20533" w14:textId="459A57B5" w:rsidR="006F1D2B" w:rsidRPr="00552BF5" w:rsidRDefault="006F1D2B" w:rsidP="006F1D2B">
      <w:pPr>
        <w:pStyle w:val="ListParagraph"/>
        <w:numPr>
          <w:ilvl w:val="0"/>
          <w:numId w:val="37"/>
        </w:numPr>
      </w:pPr>
      <w:r w:rsidRPr="00552BF5">
        <w:t xml:space="preserve">The member has </w:t>
      </w:r>
      <w:r w:rsidR="003807E2">
        <w:t>either</w:t>
      </w:r>
      <w:r w:rsidRPr="00552BF5">
        <w:t xml:space="preserve"> of the following:</w:t>
      </w:r>
    </w:p>
    <w:p w14:paraId="2C99E571" w14:textId="77777777" w:rsidR="006F1D2B" w:rsidRPr="00552BF5" w:rsidRDefault="006F1D2B" w:rsidP="006F1D2B">
      <w:pPr>
        <w:pStyle w:val="ListParagraph"/>
        <w:numPr>
          <w:ilvl w:val="1"/>
          <w:numId w:val="37"/>
        </w:numPr>
      </w:pPr>
      <w:bookmarkStart w:id="7" w:name="OLE_LINK34"/>
      <w:r w:rsidRPr="00552BF5">
        <w:t>Very low- to intermediate-risk myelodysplastic syndrome</w:t>
      </w:r>
      <w:bookmarkEnd w:id="7"/>
    </w:p>
    <w:p w14:paraId="2703DF71" w14:textId="77777777" w:rsidR="006F1D2B" w:rsidRPr="00552BF5" w:rsidRDefault="006F1D2B" w:rsidP="006F1D2B">
      <w:pPr>
        <w:pStyle w:val="ListParagraph"/>
        <w:numPr>
          <w:ilvl w:val="1"/>
          <w:numId w:val="37"/>
        </w:numPr>
      </w:pPr>
      <w:bookmarkStart w:id="8" w:name="OLE_LINK35"/>
      <w:r w:rsidRPr="00552BF5">
        <w:t>Myelodysplastic/myeloproliferative neoplasm with ring sideroblasts and thrombocytosis (MDS/MPN-RS-T)</w:t>
      </w:r>
      <w:bookmarkEnd w:id="8"/>
    </w:p>
    <w:p w14:paraId="63505D54" w14:textId="66B34FC2" w:rsidR="006F1D2B" w:rsidRPr="00552BF5" w:rsidRDefault="006F1D2B" w:rsidP="006F1D2B">
      <w:pPr>
        <w:pStyle w:val="ListParagraph"/>
        <w:numPr>
          <w:ilvl w:val="0"/>
          <w:numId w:val="37"/>
        </w:numPr>
      </w:pPr>
      <w:r w:rsidRPr="00552BF5">
        <w:t>The member has symptomatic anemia evidenced by a pretreatment or pretransfusion Hgb level less than or equal to 11 g</w:t>
      </w:r>
      <w:r w:rsidR="000E124B">
        <w:t>/dL</w:t>
      </w:r>
      <w:r w:rsidRPr="00552BF5">
        <w:t>.</w:t>
      </w:r>
    </w:p>
    <w:p w14:paraId="1D195947" w14:textId="77777777" w:rsidR="006F1D2B" w:rsidRPr="00552BF5" w:rsidRDefault="006F1D2B" w:rsidP="006F1D2B">
      <w:pPr>
        <w:pStyle w:val="ListParagraph"/>
        <w:numPr>
          <w:ilvl w:val="0"/>
          <w:numId w:val="37"/>
        </w:numPr>
      </w:pPr>
      <w:r w:rsidRPr="00552BF5">
        <w:t xml:space="preserve">The member has been receiving regular red blood cell (RBC) transfusions as defined by greater than or equal to 2 units per 8 weeks. </w:t>
      </w:r>
    </w:p>
    <w:p w14:paraId="2E2A3720" w14:textId="77777777" w:rsidR="00A62AA9" w:rsidRPr="00552BF5" w:rsidRDefault="00A62AA9" w:rsidP="00A62AA9">
      <w:pPr>
        <w:pStyle w:val="Heading3"/>
      </w:pPr>
      <w:r w:rsidRPr="00552BF5">
        <w:t>Myelofibrosis-associated anemia</w:t>
      </w:r>
      <w:r w:rsidRPr="00552BF5">
        <w:rPr>
          <w:vertAlign w:val="superscript"/>
        </w:rPr>
        <w:t>5</w:t>
      </w:r>
    </w:p>
    <w:p w14:paraId="12216D68" w14:textId="77777777" w:rsidR="00BC6528" w:rsidRPr="00552BF5" w:rsidRDefault="00BC6528" w:rsidP="00BC6528">
      <w:pPr>
        <w:pStyle w:val="BodyText"/>
      </w:pPr>
      <w:r w:rsidRPr="00552BF5">
        <w:t>Authorization of 12 months may be granted for the treatment of myelofibrosis-associated anemia.</w:t>
      </w:r>
    </w:p>
    <w:p w14:paraId="3A643EC3" w14:textId="402E4C98" w:rsidR="00A501AC" w:rsidRPr="00552BF5" w:rsidRDefault="00A501AC" w:rsidP="00A501AC">
      <w:pPr>
        <w:pStyle w:val="Heading2"/>
      </w:pPr>
      <w:r w:rsidRPr="00552BF5">
        <w:lastRenderedPageBreak/>
        <w:t>Continuation of Therapy</w:t>
      </w:r>
    </w:p>
    <w:p w14:paraId="091FEAF5" w14:textId="77777777" w:rsidR="00BC6528" w:rsidRPr="00552BF5" w:rsidRDefault="00BC6528" w:rsidP="00BC6528">
      <w:pPr>
        <w:pStyle w:val="BodyText"/>
      </w:pPr>
      <w:r w:rsidRPr="00552BF5">
        <w:t>Authorization of 12 months may be granted for continued treatment in members requesting authorization for an indication listed in the coverage criteria section when both of the following criteria are met:</w:t>
      </w:r>
    </w:p>
    <w:p w14:paraId="315D055F" w14:textId="08A53152" w:rsidR="00BC6528" w:rsidRPr="00552BF5" w:rsidRDefault="00BC6528" w:rsidP="00BC6528">
      <w:pPr>
        <w:pStyle w:val="ListParagraph"/>
        <w:numPr>
          <w:ilvl w:val="0"/>
          <w:numId w:val="39"/>
        </w:numPr>
      </w:pPr>
      <w:r w:rsidRPr="00552BF5">
        <w:t>The member has achieved or maintained a reduction in red blood cell transfusion burden.</w:t>
      </w:r>
    </w:p>
    <w:p w14:paraId="58A3D0DF" w14:textId="77777777" w:rsidR="00BC6528" w:rsidRPr="00552BF5" w:rsidRDefault="00BC6528" w:rsidP="00BC6528">
      <w:pPr>
        <w:pStyle w:val="ListParagraph"/>
        <w:numPr>
          <w:ilvl w:val="0"/>
          <w:numId w:val="39"/>
        </w:numPr>
      </w:pPr>
      <w:r w:rsidRPr="00552BF5">
        <w:t>The member has not experienced an unacceptable toxicity from Reblozyl.</w:t>
      </w:r>
    </w:p>
    <w:p w14:paraId="10DA4309" w14:textId="58426505" w:rsidR="00FF66BF" w:rsidRPr="00552BF5" w:rsidRDefault="00FF66BF" w:rsidP="00FF66BF">
      <w:pPr>
        <w:pStyle w:val="Heading2"/>
      </w:pPr>
      <w:bookmarkStart w:id="9" w:name="S2.2"/>
      <w:bookmarkStart w:id="10" w:name="section-2.2"/>
      <w:bookmarkStart w:id="11" w:name="section-2.2.1"/>
      <w:bookmarkStart w:id="12" w:name="section-2.2.2"/>
      <w:bookmarkEnd w:id="9"/>
      <w:bookmarkEnd w:id="10"/>
      <w:bookmarkEnd w:id="11"/>
      <w:bookmarkEnd w:id="12"/>
      <w:r w:rsidRPr="00552BF5">
        <w:t>References</w:t>
      </w:r>
    </w:p>
    <w:p w14:paraId="6D7B0665" w14:textId="3661FC0B" w:rsidR="00AD476C" w:rsidRPr="00552BF5" w:rsidRDefault="00AD476C" w:rsidP="00AD476C">
      <w:pPr>
        <w:pStyle w:val="ReferenceOrdered"/>
      </w:pPr>
      <w:bookmarkStart w:id="13" w:name="OLE_LINK14"/>
      <w:r w:rsidRPr="00552BF5">
        <w:t xml:space="preserve">Reblozyl [package insert]. Summit, NJ: Celgene Corporation, a Bristol-Myers Squibb Company; </w:t>
      </w:r>
      <w:r w:rsidR="00FF6B2A">
        <w:t>May</w:t>
      </w:r>
      <w:r w:rsidRPr="00552BF5">
        <w:t xml:space="preserve"> 202</w:t>
      </w:r>
      <w:r w:rsidR="00FF6B2A">
        <w:t>4</w:t>
      </w:r>
      <w:r w:rsidRPr="00552BF5">
        <w:t>.</w:t>
      </w:r>
    </w:p>
    <w:bookmarkEnd w:id="13"/>
    <w:p w14:paraId="23B13DDD" w14:textId="1C7A2539" w:rsidR="00AD476C" w:rsidRPr="00552BF5" w:rsidRDefault="00AD476C" w:rsidP="00AD476C">
      <w:pPr>
        <w:pStyle w:val="ReferenceOrdered"/>
      </w:pPr>
      <w:r w:rsidRPr="00552BF5">
        <w:rPr>
          <w:lang w:val="nn-NO"/>
        </w:rPr>
        <w:t xml:space="preserve">Capellini MD, Viprakasit V, Taher AT, et al. </w:t>
      </w:r>
      <w:bookmarkStart w:id="14" w:name="OLE_LINK13"/>
      <w:r w:rsidRPr="00552BF5">
        <w:t xml:space="preserve">A phase 3 trial of luspatercept in patients with transfusion-dependent </w:t>
      </w:r>
      <w:r w:rsidRPr="00552BF5">
        <w:rPr>
          <w:rFonts w:ascii="Calibri" w:hAnsi="Calibri" w:cs="Calibri"/>
        </w:rPr>
        <w:t>β</w:t>
      </w:r>
      <w:r w:rsidRPr="00552BF5">
        <w:t>-</w:t>
      </w:r>
      <w:bookmarkStart w:id="15" w:name="OLE_LINK10"/>
      <w:r w:rsidRPr="00552BF5">
        <w:t>thalassemia</w:t>
      </w:r>
      <w:bookmarkEnd w:id="14"/>
      <w:bookmarkEnd w:id="15"/>
      <w:r w:rsidRPr="00552BF5">
        <w:t xml:space="preserve">. </w:t>
      </w:r>
      <w:bookmarkStart w:id="16" w:name="OLE_LINK6"/>
      <w:bookmarkStart w:id="17" w:name="OLE_LINK11"/>
      <w:r w:rsidRPr="00DB6016">
        <w:t>N Engl J Med</w:t>
      </w:r>
      <w:r w:rsidRPr="00FF6B2A">
        <w:t>.</w:t>
      </w:r>
      <w:r w:rsidRPr="00552BF5">
        <w:t xml:space="preserve"> 2020;382(13):1219-31.</w:t>
      </w:r>
      <w:bookmarkEnd w:id="16"/>
      <w:bookmarkEnd w:id="17"/>
    </w:p>
    <w:p w14:paraId="619F13C9" w14:textId="7DC9AEDB" w:rsidR="00AD476C" w:rsidRPr="00552BF5" w:rsidRDefault="00AD476C" w:rsidP="00AD476C">
      <w:pPr>
        <w:pStyle w:val="ReferenceOrdered"/>
      </w:pPr>
      <w:r w:rsidRPr="00552BF5">
        <w:t xml:space="preserve">Benz EJ, Angelucci E. Diagnosis of thalassemia (adults and children). In: UpToDate, </w:t>
      </w:r>
      <w:proofErr w:type="spellStart"/>
      <w:r w:rsidRPr="00552BF5">
        <w:t>Timauer</w:t>
      </w:r>
      <w:proofErr w:type="spellEnd"/>
      <w:r w:rsidRPr="00552BF5">
        <w:t xml:space="preserve">, JS (Ed), UpToDate, Waltham, MA, 2023. URL: www.uptodate.com. Accessed </w:t>
      </w:r>
      <w:r w:rsidR="00DF0826">
        <w:t>February 4, 202</w:t>
      </w:r>
      <w:r w:rsidR="00415F51">
        <w:t>5</w:t>
      </w:r>
      <w:r w:rsidRPr="00552BF5">
        <w:t>.</w:t>
      </w:r>
    </w:p>
    <w:p w14:paraId="21248E77" w14:textId="3D45F10F" w:rsidR="00AD476C" w:rsidRPr="00552BF5" w:rsidRDefault="00AD476C" w:rsidP="00AD476C">
      <w:pPr>
        <w:pStyle w:val="ReferenceOrdered"/>
      </w:pPr>
      <w:r w:rsidRPr="00552BF5">
        <w:t xml:space="preserve">National Comprehensive Cancer Network. The NCCN Drugs &amp; Biologics Compendium. </w:t>
      </w:r>
      <w:r w:rsidRPr="0052778E">
        <w:t>http://www.nccn.org</w:t>
      </w:r>
      <w:r w:rsidRPr="00552BF5">
        <w:t xml:space="preserve">. </w:t>
      </w:r>
      <w:r w:rsidR="00481266" w:rsidRPr="0052778E">
        <w:t>February</w:t>
      </w:r>
      <w:r w:rsidR="00481266">
        <w:rPr>
          <w:color w:val="000000"/>
        </w:rPr>
        <w:t xml:space="preserve"> 4, 2025.</w:t>
      </w:r>
    </w:p>
    <w:p w14:paraId="127A1D23" w14:textId="14F2CD28" w:rsidR="00AD476C" w:rsidRPr="00552BF5" w:rsidRDefault="00AD476C" w:rsidP="00AD476C">
      <w:pPr>
        <w:pStyle w:val="ReferenceOrdered"/>
      </w:pPr>
      <w:proofErr w:type="spellStart"/>
      <w:r w:rsidRPr="00552BF5">
        <w:t>Fenaux</w:t>
      </w:r>
      <w:proofErr w:type="spellEnd"/>
      <w:r w:rsidRPr="00552BF5">
        <w:t xml:space="preserve"> P, </w:t>
      </w:r>
      <w:proofErr w:type="spellStart"/>
      <w:r w:rsidRPr="00552BF5">
        <w:t>Platzbecker</w:t>
      </w:r>
      <w:proofErr w:type="spellEnd"/>
      <w:r w:rsidRPr="00552BF5">
        <w:t xml:space="preserve"> U, Mufti GJ, et.al. </w:t>
      </w:r>
      <w:bookmarkStart w:id="18" w:name="OLE_LINK4"/>
      <w:r w:rsidRPr="00552BF5">
        <w:t>Luspatercept in patients with lower-risk myelodysplastic syndromes</w:t>
      </w:r>
      <w:bookmarkEnd w:id="18"/>
      <w:r w:rsidRPr="00552BF5">
        <w:t xml:space="preserve">. </w:t>
      </w:r>
      <w:bookmarkStart w:id="19" w:name="OLE_LINK8"/>
      <w:r w:rsidRPr="00DB6016">
        <w:t>N Engl J Med</w:t>
      </w:r>
      <w:r w:rsidRPr="00FF6B2A">
        <w:t xml:space="preserve">. </w:t>
      </w:r>
      <w:proofErr w:type="gramStart"/>
      <w:r w:rsidRPr="00FF6B2A">
        <w:t>2020</w:t>
      </w:r>
      <w:r w:rsidRPr="00552BF5">
        <w:t>;382:140</w:t>
      </w:r>
      <w:proofErr w:type="gramEnd"/>
      <w:r w:rsidRPr="00552BF5">
        <w:t>-51.</w:t>
      </w:r>
      <w:bookmarkEnd w:id="19"/>
    </w:p>
    <w:p w14:paraId="6982DA65" w14:textId="48245313" w:rsidR="00253639" w:rsidRDefault="00AD476C" w:rsidP="00253639">
      <w:pPr>
        <w:pStyle w:val="ReferenceOrdered"/>
      </w:pPr>
      <w:bookmarkStart w:id="20" w:name="OLE_LINK15"/>
      <w:r w:rsidRPr="00552BF5">
        <w:t xml:space="preserve">Farmakis D, Porter J, Taher A, </w:t>
      </w:r>
      <w:proofErr w:type="spellStart"/>
      <w:r w:rsidRPr="00552BF5">
        <w:t>Cappellini</w:t>
      </w:r>
      <w:proofErr w:type="spellEnd"/>
      <w:r w:rsidRPr="00552BF5">
        <w:t xml:space="preserve"> MD, </w:t>
      </w:r>
      <w:proofErr w:type="spellStart"/>
      <w:r w:rsidRPr="00552BF5">
        <w:t>Angastiniotis</w:t>
      </w:r>
      <w:proofErr w:type="spellEnd"/>
      <w:r w:rsidRPr="00552BF5">
        <w:t xml:space="preserve"> M, </w:t>
      </w:r>
      <w:proofErr w:type="spellStart"/>
      <w:r w:rsidRPr="00552BF5">
        <w:t>Eleftheriou</w:t>
      </w:r>
      <w:proofErr w:type="spellEnd"/>
      <w:r w:rsidRPr="00552BF5">
        <w:t xml:space="preserve"> A. 2021 </w:t>
      </w:r>
      <w:proofErr w:type="spellStart"/>
      <w:r w:rsidRPr="00552BF5">
        <w:t>Thalassaemia</w:t>
      </w:r>
      <w:proofErr w:type="spellEnd"/>
      <w:r w:rsidRPr="00552BF5">
        <w:t xml:space="preserve"> International Federation guidelines for the management of transfusion-dependent thalassemia. </w:t>
      </w:r>
      <w:proofErr w:type="spellStart"/>
      <w:r w:rsidRPr="00DB6016">
        <w:t>Hemasphere</w:t>
      </w:r>
      <w:proofErr w:type="spellEnd"/>
      <w:r w:rsidRPr="00FF6B2A">
        <w:t>. 2022</w:t>
      </w:r>
      <w:r w:rsidRPr="00552BF5">
        <w:t>;6(8</w:t>
      </w:r>
      <w:proofErr w:type="gramStart"/>
      <w:r w:rsidRPr="00552BF5">
        <w:t>):e</w:t>
      </w:r>
      <w:proofErr w:type="gramEnd"/>
      <w:r w:rsidRPr="00552BF5">
        <w:t>732.</w:t>
      </w:r>
      <w:bookmarkEnd w:id="20"/>
    </w:p>
    <w:sectPr w:rsidR="00253639" w:rsidSect="00AA1E6A">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84308" w14:textId="77777777" w:rsidR="00FD0FBE" w:rsidRDefault="00FD0FBE">
      <w:r>
        <w:separator/>
      </w:r>
    </w:p>
  </w:endnote>
  <w:endnote w:type="continuationSeparator" w:id="0">
    <w:p w14:paraId="1F370483" w14:textId="77777777" w:rsidR="00FD0FBE" w:rsidRDefault="00FD0FBE">
      <w:r>
        <w:continuationSeparator/>
      </w:r>
    </w:p>
  </w:endnote>
  <w:endnote w:type="continuationNotice" w:id="1">
    <w:p w14:paraId="622A3976" w14:textId="77777777" w:rsidR="00FD0FBE" w:rsidRDefault="00FD0F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5550EBFD"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3D5F29">
      <w:rPr>
        <w:rFonts w:cs="Arial"/>
        <w:noProof/>
        <w:snapToGrid w:val="0"/>
        <w:color w:val="000000"/>
        <w:sz w:val="16"/>
        <w:szCs w:val="16"/>
      </w:rPr>
      <w:t>Reblozyl SGM</w:t>
    </w:r>
    <w:r w:rsidR="003D5F29" w:rsidRPr="003D5F29">
      <w:rPr>
        <w:rFonts w:cs="Arial"/>
        <w:noProof/>
        <w:sz w:val="16"/>
        <w:szCs w:val="16"/>
      </w:rPr>
      <w:t xml:space="preserve"> 3407-A</w:t>
    </w:r>
    <w:r w:rsidR="003D5F29">
      <w:rPr>
        <w:rFonts w:cs="Arial"/>
        <w:noProof/>
        <w:snapToGrid w:val="0"/>
        <w:color w:val="000000"/>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A30716">
      <w:rPr>
        <w:rFonts w:cs="Arial"/>
        <w:snapToGrid w:val="0"/>
        <w:color w:val="000000"/>
        <w:sz w:val="16"/>
      </w:rPr>
      <w:t>5</w:t>
    </w:r>
    <w:r w:rsidRPr="00EC47B6">
      <w:rPr>
        <w:rFonts w:cs="Arial"/>
        <w:snapToGrid w:val="0"/>
        <w:color w:val="000000"/>
        <w:sz w:val="16"/>
      </w:rPr>
      <w:t xml:space="preserve"> CVS Caremark. All rights reserved.</w:t>
    </w:r>
  </w:p>
  <w:p w14:paraId="61CF5924" w14:textId="4367199A"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058E6937" w:rsidR="00F75C81" w:rsidRPr="00986AEB" w:rsidRDefault="00C36B72" w:rsidP="00986AEB">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619B3BF5"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402FD8">
      <w:rPr>
        <w:rFonts w:cs="Arial"/>
        <w:noProof/>
        <w:snapToGrid w:val="0"/>
        <w:color w:val="000000"/>
        <w:sz w:val="16"/>
        <w:szCs w:val="16"/>
      </w:rPr>
      <w:t>Reblozyl SGM</w:t>
    </w:r>
    <w:r w:rsidR="00402FD8" w:rsidRPr="00402FD8">
      <w:rPr>
        <w:rFonts w:cs="Arial"/>
        <w:noProof/>
        <w:sz w:val="16"/>
        <w:szCs w:val="16"/>
      </w:rPr>
      <w:t xml:space="preserve"> 3407-A</w:t>
    </w:r>
    <w:r w:rsidR="00402FD8">
      <w:rPr>
        <w:rFonts w:cs="Arial"/>
        <w:noProof/>
        <w:snapToGrid w:val="0"/>
        <w:color w:val="000000"/>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A30716">
      <w:rPr>
        <w:rFonts w:cs="Arial"/>
        <w:snapToGrid w:val="0"/>
        <w:color w:val="000000"/>
        <w:sz w:val="16"/>
      </w:rPr>
      <w:t>5</w:t>
    </w:r>
    <w:r w:rsidRPr="00EC47B6">
      <w:rPr>
        <w:rFonts w:cs="Arial"/>
        <w:snapToGrid w:val="0"/>
        <w:color w:val="000000"/>
        <w:sz w:val="16"/>
      </w:rPr>
      <w:t xml:space="preserve"> CVS Caremark. All rights reserved.</w:t>
    </w:r>
  </w:p>
  <w:p w14:paraId="39BFE579" w14:textId="27982259"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04B2A9BC" w:rsidR="00ED04EC" w:rsidRPr="00F50D98" w:rsidRDefault="00F50D98" w:rsidP="0013555B">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D9367" w14:textId="77777777" w:rsidR="00FD0FBE" w:rsidRDefault="00FD0FBE">
      <w:r>
        <w:separator/>
      </w:r>
    </w:p>
  </w:footnote>
  <w:footnote w:type="continuationSeparator" w:id="0">
    <w:p w14:paraId="515DEF38" w14:textId="77777777" w:rsidR="00FD0FBE" w:rsidRDefault="00FD0FBE">
      <w:r>
        <w:continuationSeparator/>
      </w:r>
    </w:p>
  </w:footnote>
  <w:footnote w:type="continuationNotice" w:id="1">
    <w:p w14:paraId="25D70DE3" w14:textId="77777777" w:rsidR="00FD0FBE" w:rsidRDefault="00FD0F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965BD4" w14:paraId="16262E63" w14:textId="77777777">
      <w:trPr>
        <w:trHeight w:val="144"/>
        <w:jc w:val="right"/>
      </w:trPr>
      <w:tc>
        <w:tcPr>
          <w:tcW w:w="1854" w:type="dxa"/>
          <w:hideMark/>
        </w:tcPr>
        <w:p w14:paraId="18F550B7" w14:textId="77777777" w:rsidR="00ED04EC" w:rsidRPr="00965BD4" w:rsidRDefault="00ED04EC" w:rsidP="00ED04EC">
          <w:pPr>
            <w:pStyle w:val="Header"/>
            <w:rPr>
              <w:rFonts w:cs="Arial"/>
              <w:sz w:val="16"/>
              <w:szCs w:val="16"/>
            </w:rPr>
          </w:pPr>
          <w:r w:rsidRPr="00965BD4">
            <w:rPr>
              <w:rFonts w:cs="Arial"/>
              <w:sz w:val="16"/>
              <w:szCs w:val="16"/>
            </w:rPr>
            <w:t>Reference number(s)</w:t>
          </w:r>
        </w:p>
      </w:tc>
    </w:tr>
    <w:tr w:rsidR="00ED04EC" w:rsidRPr="00965BD4" w14:paraId="703C6588" w14:textId="77777777">
      <w:trPr>
        <w:trHeight w:val="378"/>
        <w:jc w:val="right"/>
      </w:trPr>
      <w:tc>
        <w:tcPr>
          <w:tcW w:w="1854" w:type="dxa"/>
          <w:hideMark/>
        </w:tcPr>
        <w:p w14:paraId="51CE3E64" w14:textId="279EAA7A" w:rsidR="00ED04EC" w:rsidRPr="00965BD4" w:rsidRDefault="00C0603C" w:rsidP="00ED04EC">
          <w:pPr>
            <w:pStyle w:val="Header"/>
            <w:rPr>
              <w:rFonts w:cs="Arial"/>
              <w:sz w:val="16"/>
              <w:szCs w:val="16"/>
            </w:rPr>
          </w:pPr>
          <w:r w:rsidRPr="00965BD4">
            <w:rPr>
              <w:rFonts w:cs="Arial"/>
              <w:sz w:val="16"/>
              <w:szCs w:val="16"/>
            </w:rPr>
            <w:t>3407-A</w:t>
          </w:r>
        </w:p>
      </w:tc>
    </w:tr>
  </w:tbl>
  <w:p w14:paraId="0D5ACCC2" w14:textId="462A1075" w:rsidR="00ED04EC" w:rsidRPr="00965BD4"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816216"/>
    <w:multiLevelType w:val="hybridMultilevel"/>
    <w:tmpl w:val="C6CAC752"/>
    <w:lvl w:ilvl="0" w:tplc="3DE287B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2703A61"/>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A5121D"/>
    <w:multiLevelType w:val="hybridMultilevel"/>
    <w:tmpl w:val="CE22777E"/>
    <w:lvl w:ilvl="0" w:tplc="C9020AA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4746583"/>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19EE6666"/>
    <w:multiLevelType w:val="hybridMultilevel"/>
    <w:tmpl w:val="E1AC236C"/>
    <w:lvl w:ilvl="0" w:tplc="2B828752">
      <w:start w:val="1"/>
      <w:numFmt w:val="decimal"/>
      <w:lvlText w:val="%1."/>
      <w:lvlJc w:val="left"/>
      <w:pPr>
        <w:ind w:left="1800" w:hanging="360"/>
      </w:pPr>
      <w:rPr>
        <w:rFonts w:hint="default"/>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9"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26280636"/>
    <w:multiLevelType w:val="hybridMultilevel"/>
    <w:tmpl w:val="1082B974"/>
    <w:lvl w:ilvl="0" w:tplc="0409000F">
      <w:start w:val="1"/>
      <w:numFmt w:val="decimal"/>
      <w:lvlText w:val="%1."/>
      <w:lvlJc w:val="left"/>
      <w:pPr>
        <w:ind w:left="1440" w:hanging="360"/>
      </w:pPr>
      <w:rPr>
        <w:color w:val="auto"/>
      </w:rPr>
    </w:lvl>
    <w:lvl w:ilvl="1" w:tplc="E1B0C404">
      <w:start w:val="1"/>
      <w:numFmt w:val="lowerRoman"/>
      <w:lvlText w:val="%2."/>
      <w:lvlJc w:val="left"/>
      <w:pPr>
        <w:ind w:left="1440" w:hanging="360"/>
      </w:pPr>
      <w:rPr>
        <w:rFonts w:hint="default"/>
      </w:rPr>
    </w:lvl>
    <w:lvl w:ilvl="2" w:tplc="315C11D8">
      <w:start w:val="1"/>
      <w:numFmt w:val="lowerRoman"/>
      <w:lvlText w:val="%3."/>
      <w:lvlJc w:val="left"/>
      <w:pPr>
        <w:ind w:left="2880" w:hanging="180"/>
      </w:pPr>
      <w:rPr>
        <w:rFonts w:ascii="Arial" w:eastAsia="Times New Roman" w:hAnsi="Arial" w:cs="Arial"/>
      </w:rPr>
    </w:lvl>
    <w:lvl w:ilvl="3" w:tplc="273A600A">
      <w:start w:val="1"/>
      <w:numFmt w:val="upperLetter"/>
      <w:lvlText w:val="%4."/>
      <w:lvlJc w:val="left"/>
      <w:pPr>
        <w:ind w:left="1800" w:hanging="360"/>
      </w:pPr>
      <w:rPr>
        <w:rFonts w:hint="default"/>
        <w:vertAlign w:val="baseline"/>
      </w:rPr>
    </w:lvl>
    <w:lvl w:ilvl="4" w:tplc="E1B0C404">
      <w:start w:val="1"/>
      <w:numFmt w:val="lowerRoman"/>
      <w:lvlText w:val="%5."/>
      <w:lvlJc w:val="left"/>
      <w:pPr>
        <w:ind w:left="2160" w:hanging="360"/>
      </w:pPr>
      <w:rPr>
        <w:rFonts w:hint="default"/>
      </w:rPr>
    </w:lvl>
    <w:lvl w:ilvl="5" w:tplc="04090019">
      <w:start w:val="1"/>
      <w:numFmt w:val="lowerLetter"/>
      <w:lvlText w:val="%6."/>
      <w:lvlJc w:val="left"/>
      <w:pPr>
        <w:ind w:left="252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6386BB5"/>
    <w:multiLevelType w:val="hybridMultilevel"/>
    <w:tmpl w:val="FD380912"/>
    <w:lvl w:ilvl="0" w:tplc="FFFFFFFF">
      <w:start w:val="1"/>
      <w:numFmt w:val="decimal"/>
      <w:lvlText w:val="%1."/>
      <w:lvlJc w:val="left"/>
      <w:pPr>
        <w:ind w:left="3600" w:hanging="360"/>
      </w:pPr>
    </w:lvl>
    <w:lvl w:ilvl="1" w:tplc="CA7A4722">
      <w:start w:val="1"/>
      <w:numFmt w:val="lowerRoman"/>
      <w:lvlText w:val="%2."/>
      <w:lvlJc w:val="left"/>
      <w:pPr>
        <w:ind w:left="4320" w:hanging="360"/>
      </w:pPr>
      <w:rPr>
        <w:rFonts w:ascii="Arial" w:hAnsi="Arial" w:cs="Arial" w:hint="default"/>
        <w:sz w:val="20"/>
        <w:szCs w:val="20"/>
      </w:r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22"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22501A"/>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3F6D03E9"/>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42FD20B0"/>
    <w:multiLevelType w:val="hybridMultilevel"/>
    <w:tmpl w:val="8CDC636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7BF33BD"/>
    <w:multiLevelType w:val="hybridMultilevel"/>
    <w:tmpl w:val="FF48031E"/>
    <w:lvl w:ilvl="0" w:tplc="4C9C564A">
      <w:start w:val="1"/>
      <w:numFmt w:val="upperLetter"/>
      <w:lvlText w:val="%1."/>
      <w:lvlJc w:val="left"/>
      <w:pPr>
        <w:ind w:left="1800" w:hanging="360"/>
      </w:pPr>
      <w:rPr>
        <w:rFonts w:hint="default"/>
        <w:color w:val="auto"/>
        <w:vertAlign w:val="baseline"/>
      </w:rPr>
    </w:lvl>
    <w:lvl w:ilvl="1" w:tplc="0E088BAE">
      <w:start w:val="1"/>
      <w:numFmt w:val="lowerLetter"/>
      <w:lvlText w:val="%2."/>
      <w:lvlJc w:val="left"/>
      <w:pPr>
        <w:ind w:left="2160" w:hanging="360"/>
      </w:pPr>
      <w:rPr>
        <w:color w:val="auto"/>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421255"/>
    <w:multiLevelType w:val="hybridMultilevel"/>
    <w:tmpl w:val="43EAD3A6"/>
    <w:lvl w:ilvl="0" w:tplc="FFFFFFFF">
      <w:start w:val="1"/>
      <w:numFmt w:val="decimal"/>
      <w:lvlText w:val="%1."/>
      <w:lvlJc w:val="left"/>
      <w:pPr>
        <w:ind w:left="1440" w:hanging="360"/>
      </w:pPr>
      <w:rPr>
        <w:color w:val="auto"/>
      </w:rPr>
    </w:lvl>
    <w:lvl w:ilvl="1" w:tplc="0409000F">
      <w:start w:val="1"/>
      <w:numFmt w:val="decimal"/>
      <w:lvlText w:val="%2."/>
      <w:lvlJc w:val="left"/>
      <w:pPr>
        <w:ind w:left="1440" w:hanging="360"/>
      </w:pPr>
    </w:lvl>
    <w:lvl w:ilvl="2" w:tplc="FFFFFFFF">
      <w:start w:val="1"/>
      <w:numFmt w:val="lowerRoman"/>
      <w:lvlText w:val="%3."/>
      <w:lvlJc w:val="left"/>
      <w:pPr>
        <w:ind w:left="2880" w:hanging="180"/>
      </w:pPr>
      <w:rPr>
        <w:rFonts w:ascii="Arial" w:eastAsia="Times New Roman" w:hAnsi="Arial" w:cs="Arial"/>
      </w:rPr>
    </w:lvl>
    <w:lvl w:ilvl="3" w:tplc="FFFFFFFF">
      <w:start w:val="1"/>
      <w:numFmt w:val="upperLetter"/>
      <w:lvlText w:val="%4."/>
      <w:lvlJc w:val="left"/>
      <w:pPr>
        <w:ind w:left="1800" w:hanging="360"/>
      </w:pPr>
      <w:rPr>
        <w:rFonts w:hint="default"/>
        <w:vertAlign w:val="baseline"/>
      </w:rPr>
    </w:lvl>
    <w:lvl w:ilvl="4" w:tplc="FFFFFFFF">
      <w:start w:val="1"/>
      <w:numFmt w:val="lowerRoman"/>
      <w:lvlText w:val="%5."/>
      <w:lvlJc w:val="left"/>
      <w:pPr>
        <w:ind w:left="2160" w:hanging="360"/>
      </w:pPr>
      <w:rPr>
        <w:rFonts w:hint="default"/>
      </w:rPr>
    </w:lvl>
    <w:lvl w:ilvl="5" w:tplc="FFFFFFFF">
      <w:start w:val="1"/>
      <w:numFmt w:val="lowerLetter"/>
      <w:lvlText w:val="%6."/>
      <w:lvlJc w:val="left"/>
      <w:pPr>
        <w:ind w:left="2520" w:hanging="180"/>
      </w:pPr>
    </w:lvl>
    <w:lvl w:ilvl="6" w:tplc="FFFFFFFF">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5"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BE416D"/>
    <w:multiLevelType w:val="hybridMultilevel"/>
    <w:tmpl w:val="706445FE"/>
    <w:lvl w:ilvl="0" w:tplc="0409000F">
      <w:start w:val="1"/>
      <w:numFmt w:val="decimal"/>
      <w:lvlText w:val="%1."/>
      <w:lvlJc w:val="left"/>
      <w:pPr>
        <w:ind w:left="3600" w:hanging="360"/>
      </w:pPr>
    </w:lvl>
    <w:lvl w:ilvl="1" w:tplc="FFFFFFFF">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38"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9075DF1"/>
    <w:multiLevelType w:val="hybridMultilevel"/>
    <w:tmpl w:val="540CCFAC"/>
    <w:lvl w:ilvl="0" w:tplc="873EFBEA">
      <w:start w:val="1"/>
      <w:numFmt w:val="upperLetter"/>
      <w:lvlText w:val="%1."/>
      <w:lvlJc w:val="left"/>
      <w:pPr>
        <w:ind w:left="1080" w:hanging="360"/>
      </w:pPr>
      <w:rPr>
        <w:rFonts w:hint="default"/>
        <w:b/>
        <w:i w:val="0"/>
        <w:iCs/>
      </w:rPr>
    </w:lvl>
    <w:lvl w:ilvl="1" w:tplc="0409000F">
      <w:start w:val="1"/>
      <w:numFmt w:val="decimal"/>
      <w:lvlText w:val="%2."/>
      <w:lvlJc w:val="left"/>
      <w:pPr>
        <w:ind w:left="144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4"/>
  </w:num>
  <w:num w:numId="2" w16cid:durableId="606935877">
    <w:abstractNumId w:val="35"/>
  </w:num>
  <w:num w:numId="3" w16cid:durableId="611589570">
    <w:abstractNumId w:val="30"/>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5"/>
  </w:num>
  <w:num w:numId="15" w16cid:durableId="616722934">
    <w:abstractNumId w:val="12"/>
  </w:num>
  <w:num w:numId="16" w16cid:durableId="898320195">
    <w:abstractNumId w:val="23"/>
  </w:num>
  <w:num w:numId="17" w16cid:durableId="2128498676">
    <w:abstractNumId w:val="38"/>
  </w:num>
  <w:num w:numId="18" w16cid:durableId="299724409">
    <w:abstractNumId w:val="31"/>
  </w:num>
  <w:num w:numId="19" w16cid:durableId="214585573">
    <w:abstractNumId w:val="18"/>
  </w:num>
  <w:num w:numId="20" w16cid:durableId="1289816170">
    <w:abstractNumId w:val="19"/>
  </w:num>
  <w:num w:numId="21" w16cid:durableId="1066490929">
    <w:abstractNumId w:val="40"/>
  </w:num>
  <w:num w:numId="22" w16cid:durableId="1472481103">
    <w:abstractNumId w:val="33"/>
  </w:num>
  <w:num w:numId="23" w16cid:durableId="1997420403">
    <w:abstractNumId w:val="36"/>
  </w:num>
  <w:num w:numId="24" w16cid:durableId="33312838">
    <w:abstractNumId w:val="32"/>
  </w:num>
  <w:num w:numId="25" w16cid:durableId="507404939">
    <w:abstractNumId w:val="22"/>
  </w:num>
  <w:num w:numId="26" w16cid:durableId="1950313333">
    <w:abstractNumId w:val="29"/>
  </w:num>
  <w:num w:numId="27" w16cid:durableId="1866016584">
    <w:abstractNumId w:val="24"/>
  </w:num>
  <w:num w:numId="28" w16cid:durableId="138035674">
    <w:abstractNumId w:val="17"/>
  </w:num>
  <w:num w:numId="29" w16cid:durableId="494687650">
    <w:abstractNumId w:val="13"/>
  </w:num>
  <w:num w:numId="30" w16cid:durableId="1004746756">
    <w:abstractNumId w:val="37"/>
  </w:num>
  <w:num w:numId="31" w16cid:durableId="1120804383">
    <w:abstractNumId w:val="26"/>
  </w:num>
  <w:num w:numId="32" w16cid:durableId="1306810523">
    <w:abstractNumId w:val="21"/>
  </w:num>
  <w:num w:numId="33" w16cid:durableId="1327249844">
    <w:abstractNumId w:val="39"/>
  </w:num>
  <w:num w:numId="34" w16cid:durableId="993484552">
    <w:abstractNumId w:val="20"/>
  </w:num>
  <w:num w:numId="35" w16cid:durableId="827984784">
    <w:abstractNumId w:val="16"/>
  </w:num>
  <w:num w:numId="36" w16cid:durableId="110130441">
    <w:abstractNumId w:val="34"/>
  </w:num>
  <w:num w:numId="37" w16cid:durableId="1818181862">
    <w:abstractNumId w:val="11"/>
  </w:num>
  <w:num w:numId="38" w16cid:durableId="1610427134">
    <w:abstractNumId w:val="28"/>
  </w:num>
  <w:num w:numId="39" w16cid:durableId="927612796">
    <w:abstractNumId w:val="25"/>
  </w:num>
  <w:num w:numId="40" w16cid:durableId="1278482694">
    <w:abstractNumId w:val="10"/>
  </w:num>
  <w:num w:numId="41" w16cid:durableId="895236377">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101"/>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0CC3"/>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124B"/>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1AA"/>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55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6DD0"/>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6AB"/>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3C19"/>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03D"/>
    <w:rsid w:val="002303E5"/>
    <w:rsid w:val="002326EC"/>
    <w:rsid w:val="00232BF5"/>
    <w:rsid w:val="002338A0"/>
    <w:rsid w:val="00233FF2"/>
    <w:rsid w:val="002341EB"/>
    <w:rsid w:val="0023423A"/>
    <w:rsid w:val="002346E7"/>
    <w:rsid w:val="00235900"/>
    <w:rsid w:val="00235A26"/>
    <w:rsid w:val="00235ADF"/>
    <w:rsid w:val="00235FEF"/>
    <w:rsid w:val="00237E07"/>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639"/>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0F56"/>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13D9"/>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EA8"/>
    <w:rsid w:val="00305F83"/>
    <w:rsid w:val="00306B2E"/>
    <w:rsid w:val="003070FF"/>
    <w:rsid w:val="00307475"/>
    <w:rsid w:val="00307499"/>
    <w:rsid w:val="00307DCC"/>
    <w:rsid w:val="003116A8"/>
    <w:rsid w:val="0031275A"/>
    <w:rsid w:val="003127DD"/>
    <w:rsid w:val="00312B96"/>
    <w:rsid w:val="00312E1C"/>
    <w:rsid w:val="00313EB3"/>
    <w:rsid w:val="00313FC5"/>
    <w:rsid w:val="00315003"/>
    <w:rsid w:val="00315D6F"/>
    <w:rsid w:val="00316DC1"/>
    <w:rsid w:val="00317AE6"/>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4B96"/>
    <w:rsid w:val="003357AB"/>
    <w:rsid w:val="003363E7"/>
    <w:rsid w:val="003364EB"/>
    <w:rsid w:val="00336990"/>
    <w:rsid w:val="00337A3C"/>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07E2"/>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6EC7"/>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5F29"/>
    <w:rsid w:val="003D6970"/>
    <w:rsid w:val="003D6BFA"/>
    <w:rsid w:val="003D6C2D"/>
    <w:rsid w:val="003E1C0F"/>
    <w:rsid w:val="003E260D"/>
    <w:rsid w:val="003E28D8"/>
    <w:rsid w:val="003E3201"/>
    <w:rsid w:val="003E33A0"/>
    <w:rsid w:val="003E374E"/>
    <w:rsid w:val="003E3F3B"/>
    <w:rsid w:val="003E4C87"/>
    <w:rsid w:val="003E54DE"/>
    <w:rsid w:val="003E57BF"/>
    <w:rsid w:val="003E5C78"/>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D8"/>
    <w:rsid w:val="00402FED"/>
    <w:rsid w:val="00403087"/>
    <w:rsid w:val="004032A5"/>
    <w:rsid w:val="0040594C"/>
    <w:rsid w:val="00405C5D"/>
    <w:rsid w:val="00407C38"/>
    <w:rsid w:val="0041023B"/>
    <w:rsid w:val="0041061B"/>
    <w:rsid w:val="00411195"/>
    <w:rsid w:val="004112BE"/>
    <w:rsid w:val="00411413"/>
    <w:rsid w:val="00411798"/>
    <w:rsid w:val="004127A0"/>
    <w:rsid w:val="00412ABD"/>
    <w:rsid w:val="00412C14"/>
    <w:rsid w:val="00413801"/>
    <w:rsid w:val="00413861"/>
    <w:rsid w:val="0041471C"/>
    <w:rsid w:val="004154F5"/>
    <w:rsid w:val="0041567E"/>
    <w:rsid w:val="004159B2"/>
    <w:rsid w:val="00415F51"/>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9C5"/>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266"/>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D710F"/>
    <w:rsid w:val="004E0DA9"/>
    <w:rsid w:val="004E16CE"/>
    <w:rsid w:val="004E197E"/>
    <w:rsid w:val="004E1CD5"/>
    <w:rsid w:val="004E1EEE"/>
    <w:rsid w:val="004E407D"/>
    <w:rsid w:val="004E4FB7"/>
    <w:rsid w:val="004E563C"/>
    <w:rsid w:val="004E69C5"/>
    <w:rsid w:val="004E6C9B"/>
    <w:rsid w:val="004E6FA5"/>
    <w:rsid w:val="004E723F"/>
    <w:rsid w:val="004E7BBA"/>
    <w:rsid w:val="004F0A1D"/>
    <w:rsid w:val="004F1A5E"/>
    <w:rsid w:val="004F2E2A"/>
    <w:rsid w:val="004F34FF"/>
    <w:rsid w:val="004F37F3"/>
    <w:rsid w:val="004F3AED"/>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7AB"/>
    <w:rsid w:val="005038FC"/>
    <w:rsid w:val="00503FB8"/>
    <w:rsid w:val="00504015"/>
    <w:rsid w:val="005049AD"/>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78E"/>
    <w:rsid w:val="00527DF6"/>
    <w:rsid w:val="00530F8D"/>
    <w:rsid w:val="0053217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2BF5"/>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374"/>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823"/>
    <w:rsid w:val="00597BF2"/>
    <w:rsid w:val="005A015C"/>
    <w:rsid w:val="005A04AA"/>
    <w:rsid w:val="005A09BB"/>
    <w:rsid w:val="005A0E43"/>
    <w:rsid w:val="005A32D3"/>
    <w:rsid w:val="005A33BD"/>
    <w:rsid w:val="005A3D7E"/>
    <w:rsid w:val="005A4505"/>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B7081"/>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1A9"/>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792"/>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1DDE"/>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C56"/>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69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6003"/>
    <w:rsid w:val="006E7677"/>
    <w:rsid w:val="006E7E43"/>
    <w:rsid w:val="006E7FCD"/>
    <w:rsid w:val="006F01E6"/>
    <w:rsid w:val="006F05FA"/>
    <w:rsid w:val="006F1D2B"/>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74B"/>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4D0C"/>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2CDD"/>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231"/>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DE6"/>
    <w:rsid w:val="007B4FD7"/>
    <w:rsid w:val="007B5F56"/>
    <w:rsid w:val="007B766D"/>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28A"/>
    <w:rsid w:val="007F2388"/>
    <w:rsid w:val="007F2641"/>
    <w:rsid w:val="007F280C"/>
    <w:rsid w:val="007F2FAC"/>
    <w:rsid w:val="007F349F"/>
    <w:rsid w:val="007F475E"/>
    <w:rsid w:val="007F4876"/>
    <w:rsid w:val="007F5BA5"/>
    <w:rsid w:val="007F6891"/>
    <w:rsid w:val="007F72FC"/>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2934"/>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C0B"/>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4F6"/>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C69D9"/>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2AEF"/>
    <w:rsid w:val="009434E1"/>
    <w:rsid w:val="0094553A"/>
    <w:rsid w:val="00946CDC"/>
    <w:rsid w:val="00947FC1"/>
    <w:rsid w:val="009517E1"/>
    <w:rsid w:val="00951B46"/>
    <w:rsid w:val="009533D9"/>
    <w:rsid w:val="0095377B"/>
    <w:rsid w:val="00953D1E"/>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5BD4"/>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AEB"/>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519"/>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7BA"/>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716"/>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22F9"/>
    <w:rsid w:val="00A62AA9"/>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476C"/>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55F4"/>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3A0"/>
    <w:rsid w:val="00BC47DC"/>
    <w:rsid w:val="00BC51D6"/>
    <w:rsid w:val="00BC51E9"/>
    <w:rsid w:val="00BC62C0"/>
    <w:rsid w:val="00BC633A"/>
    <w:rsid w:val="00BC6528"/>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31F7"/>
    <w:rsid w:val="00C04410"/>
    <w:rsid w:val="00C04991"/>
    <w:rsid w:val="00C04C79"/>
    <w:rsid w:val="00C05AC4"/>
    <w:rsid w:val="00C0603C"/>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3281"/>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9B2"/>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D7A1C"/>
    <w:rsid w:val="00CE0B55"/>
    <w:rsid w:val="00CE0E3E"/>
    <w:rsid w:val="00CE12A6"/>
    <w:rsid w:val="00CE1968"/>
    <w:rsid w:val="00CE1CC9"/>
    <w:rsid w:val="00CE2909"/>
    <w:rsid w:val="00CE2C8E"/>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493"/>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57E10"/>
    <w:rsid w:val="00D6162B"/>
    <w:rsid w:val="00D64807"/>
    <w:rsid w:val="00D6549B"/>
    <w:rsid w:val="00D65533"/>
    <w:rsid w:val="00D665CC"/>
    <w:rsid w:val="00D67252"/>
    <w:rsid w:val="00D67A61"/>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97FB0"/>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016"/>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0826"/>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3C55"/>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3D2"/>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883"/>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9DA"/>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21D"/>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45BE"/>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0FBE"/>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9EA"/>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6B2A"/>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7611">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F5A0EC2-8BA5-4C0D-A975-AEFD790EE3A8}"/>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832</Words>
  <Characters>4749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Reblozyl SGM 3407-A</vt:lpstr>
    </vt:vector>
  </TitlesOfParts>
  <Company>CVS Caremark</Company>
  <LinksUpToDate>false</LinksUpToDate>
  <CharactersWithSpaces>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Reblozyl SGM 3407-A</dc:title>
  <dc:subject>Reblozyl SGM 3407-A</dc:subject>
  <dc:creator>CVS Caremark</dc:creator>
  <cp:keywords/>
  <cp:lastModifiedBy>Reynoso, Victor H</cp:lastModifiedBy>
  <cp:revision>10</cp:revision>
  <cp:lastPrinted>2018-01-09T11:01:00Z</cp:lastPrinted>
  <dcterms:created xsi:type="dcterms:W3CDTF">2025-02-05T16:18:00Z</dcterms:created>
  <dcterms:modified xsi:type="dcterms:W3CDTF">2025-05-05T16:18:00Z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1771600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